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6491" w:rsidRDefault="003960AC">
      <w:r>
        <w:rPr>
          <w:rFonts w:ascii="Futura Std Book" w:hAnsi="Futura Std Book"/>
          <w:b/>
          <w:noProof/>
          <w:lang w:eastAsia="en-GB"/>
        </w:rPr>
        <w:drawing>
          <wp:inline distT="0" distB="0" distL="0" distR="0" wp14:anchorId="6174101F" wp14:editId="07777777">
            <wp:extent cx="2343150" cy="1381125"/>
            <wp:effectExtent l="0" t="0" r="0" b="9525"/>
            <wp:docPr id="1" name="Picture 1" descr="logo short with charit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hort with charity nu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3960AC" w:rsidRDefault="003960AC"/>
    <w:p w14:paraId="084667F1" w14:textId="25FA3462" w:rsidR="002277A8" w:rsidRDefault="003960AC" w:rsidP="00F81E04">
      <w:pPr>
        <w:jc w:val="center"/>
        <w:rPr>
          <w:rFonts w:ascii="Arial" w:hAnsi="Arial" w:cs="Arial"/>
          <w:b/>
          <w:sz w:val="28"/>
          <w:szCs w:val="28"/>
        </w:rPr>
      </w:pPr>
      <w:r w:rsidRPr="003960AC">
        <w:rPr>
          <w:rFonts w:ascii="Arial" w:hAnsi="Arial" w:cs="Arial"/>
          <w:b/>
          <w:sz w:val="28"/>
          <w:szCs w:val="28"/>
        </w:rPr>
        <w:t>LOTTERY EXCLUSION FORM</w:t>
      </w:r>
    </w:p>
    <w:p w14:paraId="0FE1EA89" w14:textId="77777777" w:rsidR="002277A8" w:rsidRDefault="002277A8" w:rsidP="003960AC">
      <w:pPr>
        <w:jc w:val="center"/>
        <w:rPr>
          <w:rFonts w:ascii="Arial" w:hAnsi="Arial" w:cs="Arial"/>
          <w:b/>
          <w:sz w:val="28"/>
          <w:szCs w:val="28"/>
        </w:rPr>
      </w:pPr>
    </w:p>
    <w:p w14:paraId="14BC8962" w14:textId="77777777" w:rsidR="003960AC" w:rsidRPr="003960AC" w:rsidRDefault="003960AC" w:rsidP="003960AC">
      <w:pPr>
        <w:pStyle w:val="BodyText2"/>
        <w:rPr>
          <w:rFonts w:cs="Arial"/>
          <w:sz w:val="22"/>
          <w:szCs w:val="22"/>
        </w:rPr>
      </w:pPr>
      <w:r w:rsidRPr="7B34538D">
        <w:rPr>
          <w:rFonts w:cs="Arial"/>
          <w:sz w:val="22"/>
          <w:szCs w:val="22"/>
        </w:rPr>
        <w:t xml:space="preserve">Please exclude me from your lottery with immediate effect and do not make any direct contact with me during my exclusion period. </w:t>
      </w:r>
    </w:p>
    <w:p w14:paraId="470F34D8" w14:textId="51824E70" w:rsidR="7B34538D" w:rsidRDefault="7B34538D" w:rsidP="7B34538D">
      <w:pPr>
        <w:pStyle w:val="BodyText2"/>
        <w:rPr>
          <w:rFonts w:cs="Arial"/>
          <w:sz w:val="22"/>
          <w:szCs w:val="22"/>
        </w:rPr>
      </w:pPr>
    </w:p>
    <w:p w14:paraId="7B1E2C9C" w14:textId="77777777" w:rsidR="003960AC" w:rsidRDefault="003960AC" w:rsidP="003960AC">
      <w:pPr>
        <w:spacing w:before="100" w:beforeAutospacing="1" w:after="100" w:afterAutospacing="1" w:line="280" w:lineRule="atLeast"/>
        <w:rPr>
          <w:rFonts w:ascii="Arial" w:hAnsi="Arial" w:cs="Arial"/>
        </w:rPr>
      </w:pPr>
      <w:r w:rsidRPr="7B34538D">
        <w:rPr>
          <w:rFonts w:ascii="Arial" w:hAnsi="Arial" w:cs="Arial"/>
        </w:rPr>
        <w:t>We will exclude you for a minimum period of 6 months from the date of the form unless you choose a longer period.</w:t>
      </w:r>
    </w:p>
    <w:p w14:paraId="30021979" w14:textId="1CDD877F" w:rsidR="7B34538D" w:rsidRDefault="7B34538D" w:rsidP="7B34538D">
      <w:pPr>
        <w:spacing w:beforeAutospacing="1" w:afterAutospacing="1" w:line="28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960AC" w14:paraId="5ED90B35" w14:textId="77777777" w:rsidTr="003960AC">
        <w:tc>
          <w:tcPr>
            <w:tcW w:w="2263" w:type="dxa"/>
          </w:tcPr>
          <w:p w14:paraId="0871540E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 w:rsidRPr="003960AC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02EB378F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0AC" w14:paraId="385E5CC6" w14:textId="77777777" w:rsidTr="003960AC">
        <w:trPr>
          <w:trHeight w:val="582"/>
        </w:trPr>
        <w:tc>
          <w:tcPr>
            <w:tcW w:w="2263" w:type="dxa"/>
          </w:tcPr>
          <w:p w14:paraId="2702B4C6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 w:rsidRPr="003960AC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6A05A809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0AC" w14:paraId="084443D4" w14:textId="77777777" w:rsidTr="003960AC">
        <w:trPr>
          <w:trHeight w:val="265"/>
        </w:trPr>
        <w:tc>
          <w:tcPr>
            <w:tcW w:w="2263" w:type="dxa"/>
          </w:tcPr>
          <w:p w14:paraId="1A3D61FB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753" w:type="dxa"/>
          </w:tcPr>
          <w:p w14:paraId="5A39BBE3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0AC" w14:paraId="24EC891E" w14:textId="77777777" w:rsidTr="003960AC">
        <w:trPr>
          <w:trHeight w:val="265"/>
        </w:trPr>
        <w:tc>
          <w:tcPr>
            <w:tcW w:w="2263" w:type="dxa"/>
          </w:tcPr>
          <w:p w14:paraId="31478F7B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753" w:type="dxa"/>
          </w:tcPr>
          <w:p w14:paraId="41C8F396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0AC" w14:paraId="155B0BA7" w14:textId="77777777" w:rsidTr="003960AC">
        <w:tc>
          <w:tcPr>
            <w:tcW w:w="2263" w:type="dxa"/>
          </w:tcPr>
          <w:p w14:paraId="187C34F2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 w:rsidRPr="003960AC">
              <w:rPr>
                <w:rFonts w:ascii="Arial" w:hAnsi="Arial" w:cs="Arial"/>
                <w:b/>
              </w:rPr>
              <w:t>Membership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72A3D3EC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0AC" w14:paraId="7981D630" w14:textId="77777777" w:rsidTr="003960AC">
        <w:tc>
          <w:tcPr>
            <w:tcW w:w="2263" w:type="dxa"/>
          </w:tcPr>
          <w:p w14:paraId="58D6F316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 w:rsidRPr="003960AC">
              <w:rPr>
                <w:rFonts w:ascii="Arial" w:hAnsi="Arial" w:cs="Arial"/>
                <w:b/>
              </w:rPr>
              <w:t>Lottery Numbers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0D0B940D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0AC" w14:paraId="7A27FD68" w14:textId="77777777" w:rsidTr="003960AC">
        <w:tc>
          <w:tcPr>
            <w:tcW w:w="2263" w:type="dxa"/>
          </w:tcPr>
          <w:p w14:paraId="17958482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 of self-exclusion if longer than 6 months:</w:t>
            </w:r>
          </w:p>
        </w:tc>
        <w:tc>
          <w:tcPr>
            <w:tcW w:w="6753" w:type="dxa"/>
          </w:tcPr>
          <w:p w14:paraId="0E27B00A" w14:textId="77777777" w:rsidR="003960AC" w:rsidRP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</w:rPr>
            </w:pPr>
          </w:p>
        </w:tc>
      </w:tr>
      <w:tr w:rsidR="003960AC" w14:paraId="2336B5CC" w14:textId="77777777" w:rsidTr="003960AC">
        <w:trPr>
          <w:trHeight w:val="1772"/>
        </w:trPr>
        <w:tc>
          <w:tcPr>
            <w:tcW w:w="2263" w:type="dxa"/>
          </w:tcPr>
          <w:p w14:paraId="06E5450A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6753" w:type="dxa"/>
          </w:tcPr>
          <w:p w14:paraId="60061E4C" w14:textId="77777777" w:rsidR="003960AC" w:rsidRDefault="003960AC" w:rsidP="003960AC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543AF12" w14:textId="77777777" w:rsidR="003960AC" w:rsidRPr="003960AC" w:rsidRDefault="003960AC" w:rsidP="003960AC">
      <w:pPr>
        <w:spacing w:before="100" w:beforeAutospacing="1" w:after="100" w:afterAutospacing="1" w:line="280" w:lineRule="atLeast"/>
        <w:rPr>
          <w:rFonts w:ascii="Arial" w:hAnsi="Arial" w:cs="Arial"/>
          <w:b/>
        </w:rPr>
      </w:pPr>
      <w:r w:rsidRPr="7B34538D">
        <w:rPr>
          <w:rFonts w:ascii="Arial" w:hAnsi="Arial" w:cs="Arial"/>
          <w:b/>
          <w:bCs/>
        </w:rPr>
        <w:t>Please return the form to:</w:t>
      </w:r>
    </w:p>
    <w:p w14:paraId="3F28DCE2" w14:textId="553D08D9" w:rsidR="4D90EF67" w:rsidRDefault="4D90EF67" w:rsidP="7B34538D">
      <w:pPr>
        <w:spacing w:beforeAutospacing="1" w:afterAutospacing="1" w:line="280" w:lineRule="atLeast"/>
        <w:rPr>
          <w:rFonts w:ascii="Arial" w:hAnsi="Arial" w:cs="Arial"/>
          <w:b/>
          <w:bCs/>
        </w:rPr>
      </w:pPr>
    </w:p>
    <w:p w14:paraId="30392D3D" w14:textId="776C2DDE" w:rsidR="4D90EF67" w:rsidRDefault="0B3F2883" w:rsidP="7B34538D">
      <w:pPr>
        <w:spacing w:beforeAutospacing="1" w:after="0" w:line="240" w:lineRule="auto"/>
        <w:contextualSpacing/>
      </w:pPr>
      <w:r w:rsidRPr="7B34538D">
        <w:rPr>
          <w:rFonts w:ascii="Arial" w:eastAsia="Arial" w:hAnsi="Arial" w:cs="Arial"/>
        </w:rPr>
        <w:t>Forget Me Not Lottery</w:t>
      </w:r>
    </w:p>
    <w:p w14:paraId="1E271D5D" w14:textId="6206BB4D" w:rsidR="4D90EF67" w:rsidRDefault="0B3F2883" w:rsidP="7B34538D">
      <w:pPr>
        <w:spacing w:beforeAutospacing="1" w:after="0" w:line="240" w:lineRule="auto"/>
        <w:contextualSpacing/>
      </w:pPr>
      <w:r w:rsidRPr="7B34538D">
        <w:rPr>
          <w:rFonts w:ascii="Arial" w:eastAsia="Arial" w:hAnsi="Arial" w:cs="Arial"/>
        </w:rPr>
        <w:t>Furness Gate</w:t>
      </w:r>
    </w:p>
    <w:p w14:paraId="3F75800D" w14:textId="4C02EF23" w:rsidR="4D90EF67" w:rsidRDefault="0B3F2883" w:rsidP="7B34538D">
      <w:pPr>
        <w:spacing w:beforeAutospacing="1" w:after="0" w:line="240" w:lineRule="auto"/>
        <w:contextualSpacing/>
      </w:pPr>
      <w:r w:rsidRPr="7B34538D">
        <w:rPr>
          <w:rFonts w:ascii="Arial" w:eastAsia="Arial" w:hAnsi="Arial" w:cs="Arial"/>
        </w:rPr>
        <w:t>Furness Business Park</w:t>
      </w:r>
    </w:p>
    <w:p w14:paraId="6B25EA6B" w14:textId="7465F177" w:rsidR="4D90EF67" w:rsidRDefault="0B3F2883" w:rsidP="7B34538D">
      <w:pPr>
        <w:spacing w:beforeAutospacing="1" w:after="0" w:line="240" w:lineRule="auto"/>
        <w:contextualSpacing/>
      </w:pPr>
      <w:r w:rsidRPr="7B34538D">
        <w:rPr>
          <w:rFonts w:ascii="Arial" w:eastAsia="Arial" w:hAnsi="Arial" w:cs="Arial"/>
        </w:rPr>
        <w:lastRenderedPageBreak/>
        <w:t>Barrow in Furness</w:t>
      </w:r>
    </w:p>
    <w:p w14:paraId="3C2D53EC" w14:textId="595E3E29" w:rsidR="4D90EF67" w:rsidRDefault="0B3F2883" w:rsidP="7B34538D">
      <w:pPr>
        <w:spacing w:beforeAutospacing="1" w:after="0" w:line="240" w:lineRule="auto"/>
        <w:contextualSpacing/>
      </w:pPr>
      <w:r w:rsidRPr="7B34538D">
        <w:rPr>
          <w:rFonts w:ascii="Arial" w:eastAsia="Arial" w:hAnsi="Arial" w:cs="Arial"/>
        </w:rPr>
        <w:t>LA14 2PE</w:t>
      </w:r>
    </w:p>
    <w:p w14:paraId="1574E5CC" w14:textId="1F7F54C0" w:rsidR="4D90EF67" w:rsidRDefault="4D90EF67" w:rsidP="7B34538D">
      <w:pPr>
        <w:spacing w:beforeAutospacing="1" w:after="0" w:line="240" w:lineRule="auto"/>
        <w:contextualSpacing/>
        <w:rPr>
          <w:rFonts w:ascii="Arial" w:eastAsia="Arial" w:hAnsi="Arial" w:cs="Arial"/>
        </w:rPr>
      </w:pPr>
    </w:p>
    <w:p w14:paraId="683B4663" w14:textId="3834BAE5" w:rsidR="4D90EF67" w:rsidRDefault="0B3F2883" w:rsidP="7B34538D">
      <w:pPr>
        <w:spacing w:beforeAutospacing="1" w:after="0" w:line="240" w:lineRule="auto"/>
        <w:contextualSpacing/>
      </w:pPr>
      <w:r w:rsidRPr="7B34538D">
        <w:rPr>
          <w:rFonts w:ascii="Arial" w:eastAsia="Arial" w:hAnsi="Arial" w:cs="Arial"/>
        </w:rPr>
        <w:t xml:space="preserve">Or email to </w:t>
      </w:r>
      <w:hyperlink r:id="rId6" w:history="1">
        <w:r w:rsidR="00F81E04" w:rsidRPr="001B478E">
          <w:rPr>
            <w:rStyle w:val="Hyperlink"/>
            <w:rFonts w:ascii="Arial" w:eastAsia="Arial" w:hAnsi="Arial" w:cs="Arial"/>
          </w:rPr>
          <w:t>forgetmenotweeklyprizedraw@sterlinglotteries.co.uk</w:t>
        </w:r>
      </w:hyperlink>
    </w:p>
    <w:p w14:paraId="38BC90E2" w14:textId="0C4B8CB7" w:rsidR="7B34538D" w:rsidRDefault="7B34538D" w:rsidP="7B34538D">
      <w:pPr>
        <w:spacing w:beforeAutospacing="1" w:afterAutospacing="1" w:line="280" w:lineRule="atLeast"/>
        <w:rPr>
          <w:rFonts w:ascii="Arial" w:eastAsia="Times New Roman" w:hAnsi="Arial" w:cs="Arial"/>
          <w:color w:val="000000" w:themeColor="text1"/>
          <w:lang w:eastAsia="en-GB"/>
        </w:rPr>
      </w:pPr>
    </w:p>
    <w:p w14:paraId="4B991DFF" w14:textId="4F64B7EC" w:rsidR="7B34538D" w:rsidRPr="00F81E04" w:rsidRDefault="006871F5" w:rsidP="00F81E0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lang w:eastAsia="en-GB"/>
        </w:rPr>
      </w:pPr>
      <w:r w:rsidRPr="7B34538D">
        <w:rPr>
          <w:rFonts w:ascii="Arial" w:eastAsia="Times New Roman" w:hAnsi="Arial" w:cs="Arial"/>
          <w:color w:val="000000" w:themeColor="text1"/>
          <w:lang w:eastAsia="en-GB"/>
        </w:rPr>
        <w:t>I understand that:</w:t>
      </w:r>
    </w:p>
    <w:p w14:paraId="367DC6AB" w14:textId="61581C89" w:rsidR="7B34538D" w:rsidRPr="00F81E04" w:rsidRDefault="006871F5" w:rsidP="00F81E0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7B34538D">
        <w:rPr>
          <w:rFonts w:ascii="Arial" w:eastAsia="Times New Roman" w:hAnsi="Arial" w:cs="Arial"/>
          <w:color w:val="000000" w:themeColor="text1"/>
          <w:lang w:eastAsia="en-GB"/>
        </w:rPr>
        <w:t>if</w:t>
      </w:r>
      <w:proofErr w:type="gramEnd"/>
      <w:r w:rsidRPr="7B34538D">
        <w:rPr>
          <w:rFonts w:ascii="Arial" w:eastAsia="Times New Roman" w:hAnsi="Arial" w:cs="Arial"/>
          <w:color w:val="000000" w:themeColor="text1"/>
          <w:lang w:eastAsia="en-GB"/>
        </w:rPr>
        <w:t xml:space="preserve"> I attempt to enter</w:t>
      </w:r>
      <w:r w:rsidR="7D2EECE5" w:rsidRPr="7B34538D">
        <w:rPr>
          <w:rFonts w:ascii="Arial" w:eastAsia="Times New Roman" w:hAnsi="Arial" w:cs="Arial"/>
          <w:color w:val="000000" w:themeColor="text1"/>
          <w:lang w:eastAsia="en-GB"/>
        </w:rPr>
        <w:t>/play</w:t>
      </w:r>
      <w:r w:rsidRPr="7B34538D">
        <w:rPr>
          <w:rFonts w:ascii="Arial" w:eastAsia="Times New Roman" w:hAnsi="Arial" w:cs="Arial"/>
          <w:color w:val="000000" w:themeColor="text1"/>
          <w:lang w:eastAsia="en-GB"/>
        </w:rPr>
        <w:t xml:space="preserve"> a</w:t>
      </w:r>
      <w:r w:rsidR="6283E913" w:rsidRPr="7B34538D">
        <w:rPr>
          <w:rFonts w:ascii="Arial" w:eastAsia="Times New Roman" w:hAnsi="Arial" w:cs="Arial"/>
          <w:color w:val="000000" w:themeColor="text1"/>
          <w:lang w:eastAsia="en-GB"/>
        </w:rPr>
        <w:t>ny</w:t>
      </w:r>
      <w:r w:rsidRPr="7B34538D">
        <w:rPr>
          <w:rFonts w:ascii="Arial" w:eastAsia="Times New Roman" w:hAnsi="Arial" w:cs="Arial"/>
          <w:color w:val="000000" w:themeColor="text1"/>
          <w:lang w:eastAsia="en-GB"/>
        </w:rPr>
        <w:t xml:space="preserve"> Forget Me Not Children’s hospice </w:t>
      </w:r>
      <w:r w:rsidR="2AF03FFD" w:rsidRPr="7B34538D">
        <w:rPr>
          <w:rFonts w:ascii="Arial" w:eastAsia="Times New Roman" w:hAnsi="Arial" w:cs="Arial"/>
          <w:color w:val="000000" w:themeColor="text1"/>
          <w:lang w:eastAsia="en-GB"/>
        </w:rPr>
        <w:t>gambling products</w:t>
      </w:r>
      <w:r w:rsidRPr="7B34538D">
        <w:rPr>
          <w:rFonts w:ascii="Arial" w:eastAsia="Times New Roman" w:hAnsi="Arial" w:cs="Arial"/>
          <w:color w:val="000000" w:themeColor="text1"/>
          <w:lang w:eastAsia="en-GB"/>
        </w:rPr>
        <w:t xml:space="preserve"> during the term of the exclusion and am identified by a member of staff I will be refused entry and any stake will be returned to me.</w:t>
      </w:r>
    </w:p>
    <w:p w14:paraId="117CFCFD" w14:textId="4066DEDB" w:rsidR="006871F5" w:rsidRPr="006871F5" w:rsidRDefault="00D11CCB" w:rsidP="006871F5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</w:t>
      </w:r>
      <w:bookmarkStart w:id="0" w:name="_GoBack"/>
      <w:bookmarkEnd w:id="0"/>
      <w:r w:rsidR="006871F5" w:rsidRPr="006871F5">
        <w:rPr>
          <w:rFonts w:ascii="Arial" w:eastAsia="Times New Roman" w:hAnsi="Arial" w:cs="Arial"/>
          <w:color w:val="000000"/>
          <w:lang w:eastAsia="en-GB"/>
        </w:rPr>
        <w:t xml:space="preserve"> understand my responsibility in ensuring adherence to this agreement. I acknowledge that Forget Me Not, its employees or agents have no liability or claims arising from my voluntary use of the gambling facilities provided.</w:t>
      </w:r>
    </w:p>
    <w:p w14:paraId="020AC55F" w14:textId="2E619078" w:rsidR="003960AC" w:rsidRPr="006871F5" w:rsidRDefault="402CAD61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4D90EF67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>ny self-exclusion may, on request, be extended for one or more further periods of at least 6 months each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B94D5A5" w14:textId="77777777" w:rsidR="006871F5" w:rsidRPr="006871F5" w:rsidRDefault="006871F5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F8601E" w14:textId="064AE0BC" w:rsidR="003960AC" w:rsidRPr="006871F5" w:rsidRDefault="2FDB0DEA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4D90EF67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>t the end of the period chosen, the self-exclusion remains in place for a further 6 months, unless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 I take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 positive action in order to gamble again. </w:t>
      </w:r>
    </w:p>
    <w:p w14:paraId="3DEEC669" w14:textId="77777777" w:rsidR="006871F5" w:rsidRPr="006871F5" w:rsidRDefault="006871F5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6109889" w14:textId="316A9A03" w:rsidR="003960AC" w:rsidRPr="006871F5" w:rsidRDefault="5FE767A8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4D90EF67">
        <w:rPr>
          <w:rFonts w:ascii="Arial" w:eastAsia="Times New Roman" w:hAnsi="Arial" w:cs="Arial"/>
          <w:color w:val="000000" w:themeColor="text1"/>
          <w:lang w:eastAsia="en-GB"/>
        </w:rPr>
        <w:t>W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here 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 choose not to renew the self-exclusion, and make a positive request to begin gambling again during the 6 month period following the end of your initial self-exclusion, 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>I will be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 given one day to cool off before being allowed access to gambling facilities. Contact must be made with the Forget Me Not Responsible Person via telephone before this can happen.</w:t>
      </w:r>
    </w:p>
    <w:p w14:paraId="3656B9AB" w14:textId="77777777" w:rsidR="006871F5" w:rsidRPr="006871F5" w:rsidRDefault="006871F5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8878ED5" w14:textId="5E7ADFCF" w:rsidR="003960AC" w:rsidRPr="006871F5" w:rsidRDefault="641E2A40" w:rsidP="003960A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4D90EF67">
        <w:rPr>
          <w:rFonts w:ascii="Arial" w:eastAsia="Times New Roman" w:hAnsi="Arial" w:cs="Arial"/>
          <w:color w:val="000000" w:themeColor="text1"/>
          <w:lang w:eastAsia="en-GB"/>
        </w:rPr>
        <w:t>N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otwithstanding the expiry of the period of self-exclusion chosen by 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>myself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>, no mark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>eting material should be sent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 unless and until </w:t>
      </w:r>
      <w:r w:rsidR="006871F5" w:rsidRPr="4D90EF67">
        <w:rPr>
          <w:rFonts w:ascii="Arial" w:eastAsia="Times New Roman" w:hAnsi="Arial" w:cs="Arial"/>
          <w:color w:val="000000" w:themeColor="text1"/>
          <w:lang w:eastAsia="en-GB"/>
        </w:rPr>
        <w:t xml:space="preserve">I </w:t>
      </w:r>
      <w:r w:rsidR="003960AC" w:rsidRPr="4D90EF67">
        <w:rPr>
          <w:rFonts w:ascii="Arial" w:eastAsia="Times New Roman" w:hAnsi="Arial" w:cs="Arial"/>
          <w:color w:val="000000" w:themeColor="text1"/>
          <w:lang w:eastAsia="en-GB"/>
        </w:rPr>
        <w:t>have asked for or agreed to accept such material.</w:t>
      </w:r>
    </w:p>
    <w:p w14:paraId="45FB0818" w14:textId="77777777" w:rsidR="003960AC" w:rsidRDefault="003960AC" w:rsidP="003960AC">
      <w:pPr>
        <w:spacing w:before="100" w:beforeAutospacing="1"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871F5" w14:paraId="3F6D6C16" w14:textId="77777777" w:rsidTr="00C875F8">
        <w:tc>
          <w:tcPr>
            <w:tcW w:w="2263" w:type="dxa"/>
          </w:tcPr>
          <w:p w14:paraId="46032B70" w14:textId="77777777" w:rsidR="006871F5" w:rsidRPr="003960AC" w:rsidRDefault="006871F5" w:rsidP="00C875F8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 w:rsidRPr="003960AC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049F31CB" w14:textId="77777777" w:rsidR="006871F5" w:rsidRDefault="006871F5" w:rsidP="00C875F8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1F5" w14:paraId="3101716D" w14:textId="77777777" w:rsidTr="00C875F8">
        <w:tc>
          <w:tcPr>
            <w:tcW w:w="2263" w:type="dxa"/>
          </w:tcPr>
          <w:p w14:paraId="5D4EC514" w14:textId="77777777" w:rsidR="006871F5" w:rsidRPr="003960AC" w:rsidRDefault="006871F5" w:rsidP="00C875F8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</w:rPr>
            </w:pPr>
            <w:r w:rsidRPr="003960A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53128261" w14:textId="77777777" w:rsidR="006871F5" w:rsidRDefault="006871F5" w:rsidP="00C875F8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486C05" w14:textId="77777777" w:rsidR="006871F5" w:rsidRDefault="006871F5" w:rsidP="003960AC">
      <w:pPr>
        <w:spacing w:before="100" w:beforeAutospacing="1"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7DBF5758" w14:textId="77777777" w:rsidR="006871F5" w:rsidRPr="006871F5" w:rsidRDefault="006871F5" w:rsidP="006871F5">
      <w:pPr>
        <w:rPr>
          <w:rFonts w:ascii="Arial" w:hAnsi="Arial" w:cs="Arial"/>
        </w:rPr>
      </w:pPr>
      <w:r w:rsidRPr="006871F5">
        <w:rPr>
          <w:rFonts w:ascii="Arial" w:hAnsi="Arial" w:cs="Arial"/>
        </w:rPr>
        <w:t>Support for p</w:t>
      </w:r>
      <w:r w:rsidR="00F2466C">
        <w:rPr>
          <w:rFonts w:ascii="Arial" w:hAnsi="Arial" w:cs="Arial"/>
        </w:rPr>
        <w:t>roblem gambling can be found at</w:t>
      </w:r>
    </w:p>
    <w:p w14:paraId="312B311A" w14:textId="77777777" w:rsidR="006871F5" w:rsidRPr="006871F5" w:rsidRDefault="00D11CCB" w:rsidP="00687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44444"/>
        </w:rPr>
      </w:pPr>
      <w:hyperlink r:id="rId7" w:history="1">
        <w:r w:rsidR="006871F5" w:rsidRPr="006871F5">
          <w:rPr>
            <w:rStyle w:val="Hyperlink"/>
            <w:rFonts w:ascii="Arial" w:hAnsi="Arial" w:cs="Arial"/>
          </w:rPr>
          <w:t>The Responsible Gambling Trust</w:t>
        </w:r>
      </w:hyperlink>
    </w:p>
    <w:p w14:paraId="1EBD1897" w14:textId="77777777" w:rsidR="006871F5" w:rsidRPr="006871F5" w:rsidRDefault="00D11CCB" w:rsidP="00687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44444"/>
        </w:rPr>
      </w:pPr>
      <w:hyperlink r:id="rId8" w:history="1">
        <w:r w:rsidR="006871F5" w:rsidRPr="006871F5">
          <w:rPr>
            <w:rStyle w:val="Hyperlink"/>
            <w:rFonts w:ascii="Arial" w:hAnsi="Arial" w:cs="Arial"/>
          </w:rPr>
          <w:t>Be Gamble Aware</w:t>
        </w:r>
      </w:hyperlink>
    </w:p>
    <w:p w14:paraId="10BE31F9" w14:textId="77777777" w:rsidR="006871F5" w:rsidRPr="006871F5" w:rsidRDefault="00D11CCB" w:rsidP="00687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44444"/>
        </w:rPr>
      </w:pPr>
      <w:hyperlink r:id="rId9" w:history="1">
        <w:proofErr w:type="spellStart"/>
        <w:r w:rsidR="006871F5" w:rsidRPr="006871F5">
          <w:rPr>
            <w:rStyle w:val="Hyperlink"/>
            <w:rFonts w:ascii="Arial" w:hAnsi="Arial" w:cs="Arial"/>
          </w:rPr>
          <w:t>GamCare</w:t>
        </w:r>
        <w:proofErr w:type="spellEnd"/>
      </w:hyperlink>
    </w:p>
    <w:p w14:paraId="4101652C" w14:textId="77777777" w:rsidR="006871F5" w:rsidRPr="006871F5" w:rsidRDefault="006871F5" w:rsidP="006871F5">
      <w:pPr>
        <w:rPr>
          <w:rFonts w:ascii="Arial" w:hAnsi="Arial" w:cs="Arial"/>
        </w:rPr>
      </w:pPr>
    </w:p>
    <w:p w14:paraId="2AF83878" w14:textId="77777777" w:rsidR="006871F5" w:rsidRPr="006871F5" w:rsidRDefault="006871F5" w:rsidP="006871F5">
      <w:pPr>
        <w:rPr>
          <w:rFonts w:ascii="Arial" w:hAnsi="Arial" w:cs="Arial"/>
        </w:rPr>
      </w:pPr>
      <w:r w:rsidRPr="006871F5">
        <w:rPr>
          <w:rFonts w:ascii="Arial" w:hAnsi="Arial" w:cs="Arial"/>
        </w:rPr>
        <w:t xml:space="preserve">Software is available to prevent access to gambling internet sites see for further details </w:t>
      </w:r>
      <w:hyperlink r:id="rId10" w:history="1">
        <w:r w:rsidRPr="006871F5">
          <w:rPr>
            <w:rStyle w:val="Hyperlink"/>
            <w:rFonts w:ascii="Arial" w:hAnsi="Arial" w:cs="Arial"/>
          </w:rPr>
          <w:t>https://www.begambleaware.org/gambling-blocking-software</w:t>
        </w:r>
      </w:hyperlink>
    </w:p>
    <w:p w14:paraId="4B99056E" w14:textId="77777777" w:rsidR="006871F5" w:rsidRDefault="006871F5" w:rsidP="006871F5">
      <w:pPr>
        <w:rPr>
          <w:rFonts w:ascii="Futura Std Book" w:hAnsi="Futura Std Book"/>
        </w:rPr>
      </w:pPr>
    </w:p>
    <w:p w14:paraId="4DDBEF00" w14:textId="7A491D36" w:rsidR="006871F5" w:rsidRPr="00F81E04" w:rsidRDefault="00F2466C" w:rsidP="00F81E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466C">
        <w:rPr>
          <w:rFonts w:ascii="Arial" w:hAnsi="Arial" w:cs="Arial"/>
          <w:sz w:val="22"/>
          <w:szCs w:val="22"/>
        </w:rPr>
        <w:t xml:space="preserve">Responsible Persons Mr Gareth Pierce &amp; Nicola O’Dowd </w:t>
      </w:r>
      <w:r w:rsidRPr="00F2466C">
        <w:rPr>
          <w:rFonts w:ascii="Arial" w:hAnsi="Arial" w:cs="Arial"/>
          <w:color w:val="000000"/>
          <w:sz w:val="22"/>
          <w:szCs w:val="22"/>
        </w:rPr>
        <w:t xml:space="preserve">on 01484 411040, via email </w:t>
      </w:r>
      <w:hyperlink r:id="rId11" w:history="1">
        <w:r w:rsidRPr="00F2466C">
          <w:rPr>
            <w:rStyle w:val="Hyperlink"/>
            <w:rFonts w:ascii="Arial" w:hAnsi="Arial" w:cs="Arial"/>
            <w:sz w:val="22"/>
            <w:szCs w:val="22"/>
          </w:rPr>
          <w:t>contact@forgetmenotchild.co.uk</w:t>
        </w:r>
      </w:hyperlink>
      <w:r w:rsidRPr="00F2466C">
        <w:rPr>
          <w:rFonts w:ascii="Arial" w:hAnsi="Arial" w:cs="Arial"/>
          <w:color w:val="000000"/>
          <w:sz w:val="22"/>
          <w:szCs w:val="22"/>
        </w:rPr>
        <w:t xml:space="preserve"> or in writing </w:t>
      </w:r>
      <w:r w:rsidRPr="00F2466C">
        <w:rPr>
          <w:rFonts w:ascii="Arial" w:hAnsi="Arial" w:cs="Arial"/>
          <w:sz w:val="22"/>
          <w:szCs w:val="22"/>
        </w:rPr>
        <w:t>at Forget Me Not Children’s Hospice, Russell House, Fell Greave Road, Huddersfield, HD2 1NH.</w:t>
      </w:r>
    </w:p>
    <w:sectPr w:rsidR="006871F5" w:rsidRPr="00F8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78D"/>
    <w:multiLevelType w:val="multilevel"/>
    <w:tmpl w:val="E4B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869C6"/>
    <w:multiLevelType w:val="multilevel"/>
    <w:tmpl w:val="2126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C"/>
    <w:rsid w:val="002277A8"/>
    <w:rsid w:val="003960AC"/>
    <w:rsid w:val="00455C4A"/>
    <w:rsid w:val="006871F5"/>
    <w:rsid w:val="00D11CCB"/>
    <w:rsid w:val="00F17399"/>
    <w:rsid w:val="00F2466C"/>
    <w:rsid w:val="00F81E04"/>
    <w:rsid w:val="0B3F2883"/>
    <w:rsid w:val="0F266B96"/>
    <w:rsid w:val="2AF03FFD"/>
    <w:rsid w:val="2FDB0DEA"/>
    <w:rsid w:val="302658A0"/>
    <w:rsid w:val="402CAD61"/>
    <w:rsid w:val="40D34F01"/>
    <w:rsid w:val="4D90EF67"/>
    <w:rsid w:val="517102C9"/>
    <w:rsid w:val="5D3F6B25"/>
    <w:rsid w:val="5FE767A8"/>
    <w:rsid w:val="6283E913"/>
    <w:rsid w:val="641E2A40"/>
    <w:rsid w:val="7151A0DB"/>
    <w:rsid w:val="7341119E"/>
    <w:rsid w:val="7B34538D"/>
    <w:rsid w:val="7D2EECE5"/>
    <w:rsid w:val="7D8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40D3"/>
  <w15:chartTrackingRefBased/>
  <w15:docId w15:val="{1A3400CB-4AA0-4D8D-835A-4C8E013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96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960AC"/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39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A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871F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gambleawar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onsiblegamblingtrust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getmenotweeklyprizedraw@sterlinglotteries.co.uk" TargetMode="External"/><Relationship Id="rId11" Type="http://schemas.openxmlformats.org/officeDocument/2006/relationships/hyperlink" Target="mailto:contact@forgetmenotchild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egambleaware.org/gambling-blocking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mcare.org.uk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Louise</dc:creator>
  <cp:keywords/>
  <dc:description/>
  <cp:lastModifiedBy>Clarke, Melanie</cp:lastModifiedBy>
  <cp:revision>6</cp:revision>
  <cp:lastPrinted>2023-12-13T11:35:00Z</cp:lastPrinted>
  <dcterms:created xsi:type="dcterms:W3CDTF">2022-08-04T14:12:00Z</dcterms:created>
  <dcterms:modified xsi:type="dcterms:W3CDTF">2023-12-13T14:59:00Z</dcterms:modified>
</cp:coreProperties>
</file>